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ABCB" w14:textId="28D241F8" w:rsidR="007F7CF5" w:rsidRDefault="007F7CF5" w:rsidP="00D632B2">
      <w:pPr>
        <w:jc w:val="center"/>
        <w:rPr>
          <w:sz w:val="56"/>
          <w:szCs w:val="56"/>
        </w:rPr>
      </w:pPr>
      <w:r>
        <w:rPr>
          <w:noProof/>
          <w:sz w:val="56"/>
          <w:szCs w:val="56"/>
        </w:rPr>
        <w:drawing>
          <wp:inline distT="0" distB="0" distL="0" distR="0" wp14:anchorId="691DAC17" wp14:editId="48E8E561">
            <wp:extent cx="3076575" cy="589915"/>
            <wp:effectExtent l="0" t="0" r="0" b="635"/>
            <wp:docPr id="2112244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4376" cy="593328"/>
                    </a:xfrm>
                    <a:prstGeom prst="rect">
                      <a:avLst/>
                    </a:prstGeom>
                    <a:noFill/>
                  </pic:spPr>
                </pic:pic>
              </a:graphicData>
            </a:graphic>
          </wp:inline>
        </w:drawing>
      </w:r>
      <w:r w:rsidR="00D632B2">
        <w:rPr>
          <w:noProof/>
          <w:sz w:val="56"/>
          <w:szCs w:val="56"/>
        </w:rPr>
        <w:t xml:space="preserve">  </w:t>
      </w:r>
      <w:r w:rsidR="00D632B2">
        <w:rPr>
          <w:noProof/>
          <w:sz w:val="56"/>
          <w:szCs w:val="56"/>
        </w:rPr>
        <w:drawing>
          <wp:inline distT="0" distB="0" distL="0" distR="0" wp14:anchorId="143F03CE" wp14:editId="73287528">
            <wp:extent cx="2085975" cy="572770"/>
            <wp:effectExtent l="0" t="0" r="9525" b="0"/>
            <wp:docPr id="1945281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975" cy="572770"/>
                    </a:xfrm>
                    <a:prstGeom prst="rect">
                      <a:avLst/>
                    </a:prstGeom>
                    <a:noFill/>
                  </pic:spPr>
                </pic:pic>
              </a:graphicData>
            </a:graphic>
          </wp:inline>
        </w:drawing>
      </w:r>
    </w:p>
    <w:p w14:paraId="6A9DE9D3" w14:textId="77777777" w:rsidR="00D632B2" w:rsidRDefault="00D632B2" w:rsidP="00C02885">
      <w:pPr>
        <w:jc w:val="center"/>
        <w:rPr>
          <w:sz w:val="36"/>
          <w:szCs w:val="36"/>
        </w:rPr>
      </w:pPr>
    </w:p>
    <w:p w14:paraId="794D4698" w14:textId="3A0EF370" w:rsidR="00C02885" w:rsidRPr="00984B43" w:rsidRDefault="00C02885" w:rsidP="00C02885">
      <w:pPr>
        <w:jc w:val="center"/>
        <w:rPr>
          <w:sz w:val="36"/>
          <w:szCs w:val="36"/>
        </w:rPr>
      </w:pPr>
      <w:r w:rsidRPr="00984B43">
        <w:rPr>
          <w:sz w:val="36"/>
          <w:szCs w:val="36"/>
        </w:rPr>
        <w:t xml:space="preserve">Excellence in </w:t>
      </w:r>
      <w:r w:rsidR="00984B43" w:rsidRPr="00984B43">
        <w:rPr>
          <w:sz w:val="36"/>
          <w:szCs w:val="36"/>
        </w:rPr>
        <w:t>Respiratory Care – Neo/Peds Focus -</w:t>
      </w:r>
      <w:r w:rsidRPr="00984B43">
        <w:rPr>
          <w:sz w:val="36"/>
          <w:szCs w:val="36"/>
        </w:rPr>
        <w:t xml:space="preserve"> January 2024</w:t>
      </w:r>
    </w:p>
    <w:p w14:paraId="47402D2D" w14:textId="77777777" w:rsidR="00C02885" w:rsidRDefault="00C02885" w:rsidP="00C02885">
      <w:pPr>
        <w:jc w:val="center"/>
        <w:rPr>
          <w:b/>
          <w:bCs/>
          <w:sz w:val="44"/>
          <w:szCs w:val="44"/>
        </w:rPr>
      </w:pPr>
      <w:r>
        <w:rPr>
          <w:b/>
          <w:bCs/>
          <w:sz w:val="44"/>
          <w:szCs w:val="44"/>
        </w:rPr>
        <w:t>Conference Agenda</w:t>
      </w:r>
    </w:p>
    <w:p w14:paraId="0411F310" w14:textId="77777777" w:rsidR="00C02885" w:rsidRPr="00235A05" w:rsidRDefault="00C02885" w:rsidP="00C02885">
      <w:pPr>
        <w:jc w:val="center"/>
        <w:rPr>
          <w:b/>
          <w:bCs/>
          <w:sz w:val="16"/>
          <w:szCs w:val="16"/>
        </w:rPr>
      </w:pPr>
    </w:p>
    <w:p w14:paraId="3FA66CE0" w14:textId="4D470F2F" w:rsidR="00C02885" w:rsidRPr="00D632B2" w:rsidRDefault="00C02885" w:rsidP="00C02885">
      <w:pPr>
        <w:rPr>
          <w:sz w:val="24"/>
          <w:szCs w:val="24"/>
        </w:rPr>
      </w:pPr>
      <w:r w:rsidRPr="00D632B2">
        <w:rPr>
          <w:sz w:val="24"/>
          <w:szCs w:val="24"/>
        </w:rPr>
        <w:t xml:space="preserve">0700 – 0800 </w:t>
      </w:r>
      <w:r w:rsidRPr="00D632B2">
        <w:rPr>
          <w:sz w:val="24"/>
          <w:szCs w:val="24"/>
        </w:rPr>
        <w:tab/>
        <w:t xml:space="preserve">Registration, Breakfast + </w:t>
      </w:r>
      <w:r w:rsidR="002816A9" w:rsidRPr="00D632B2">
        <w:rPr>
          <w:sz w:val="24"/>
          <w:szCs w:val="24"/>
        </w:rPr>
        <w:t>Vendor Booths Open</w:t>
      </w:r>
    </w:p>
    <w:p w14:paraId="6EABB2D3" w14:textId="77777777" w:rsidR="00C02885" w:rsidRPr="00D632B2" w:rsidRDefault="00C02885" w:rsidP="00C02885">
      <w:pPr>
        <w:rPr>
          <w:sz w:val="24"/>
          <w:szCs w:val="24"/>
        </w:rPr>
      </w:pPr>
      <w:r w:rsidRPr="00D632B2">
        <w:rPr>
          <w:sz w:val="24"/>
          <w:szCs w:val="24"/>
        </w:rPr>
        <w:t xml:space="preserve">0800 – 0815 </w:t>
      </w:r>
      <w:r w:rsidRPr="00D632B2">
        <w:rPr>
          <w:sz w:val="24"/>
          <w:szCs w:val="24"/>
        </w:rPr>
        <w:tab/>
        <w:t>Move to lecture hall</w:t>
      </w:r>
    </w:p>
    <w:p w14:paraId="4BF8469B" w14:textId="77777777" w:rsidR="00C02885" w:rsidRPr="00D632B2" w:rsidRDefault="00C02885" w:rsidP="00C02885">
      <w:pPr>
        <w:rPr>
          <w:sz w:val="24"/>
          <w:szCs w:val="24"/>
        </w:rPr>
      </w:pPr>
      <w:r w:rsidRPr="00D632B2">
        <w:rPr>
          <w:sz w:val="24"/>
          <w:szCs w:val="24"/>
        </w:rPr>
        <w:t xml:space="preserve">0815 – 0825 </w:t>
      </w:r>
      <w:r w:rsidRPr="00D632B2">
        <w:rPr>
          <w:sz w:val="24"/>
          <w:szCs w:val="24"/>
        </w:rPr>
        <w:tab/>
        <w:t>Opening Statements</w:t>
      </w:r>
    </w:p>
    <w:p w14:paraId="0EB98F30" w14:textId="06C545B0" w:rsidR="00C02885" w:rsidRPr="00D632B2" w:rsidRDefault="00C02885" w:rsidP="00C02885">
      <w:pPr>
        <w:ind w:left="1440" w:hanging="1440"/>
        <w:rPr>
          <w:color w:val="8064A2" w:themeColor="accent4"/>
          <w:sz w:val="24"/>
          <w:szCs w:val="24"/>
        </w:rPr>
      </w:pPr>
      <w:r w:rsidRPr="00D632B2">
        <w:rPr>
          <w:sz w:val="24"/>
          <w:szCs w:val="24"/>
        </w:rPr>
        <w:t xml:space="preserve">0825 – 0915 </w:t>
      </w:r>
      <w:r w:rsidRPr="00D632B2">
        <w:rPr>
          <w:sz w:val="24"/>
          <w:szCs w:val="24"/>
        </w:rPr>
        <w:tab/>
      </w:r>
      <w:r w:rsidRPr="00D632B2">
        <w:rPr>
          <w:b/>
          <w:bCs/>
          <w:sz w:val="24"/>
          <w:szCs w:val="24"/>
        </w:rPr>
        <w:t>Lecture 1</w:t>
      </w:r>
      <w:r w:rsidR="00984B43" w:rsidRPr="00D632B2">
        <w:rPr>
          <w:b/>
          <w:bCs/>
          <w:sz w:val="24"/>
          <w:szCs w:val="24"/>
        </w:rPr>
        <w:t xml:space="preserve">: </w:t>
      </w:r>
      <w:r w:rsidRPr="00D632B2">
        <w:rPr>
          <w:sz w:val="24"/>
          <w:szCs w:val="24"/>
        </w:rPr>
        <w:t xml:space="preserve"> </w:t>
      </w:r>
      <w:r w:rsidR="008C7644" w:rsidRPr="00D632B2">
        <w:rPr>
          <w:rFonts w:cstheme="minorHAnsi"/>
          <w:b/>
          <w:bCs/>
          <w:color w:val="7030A0"/>
          <w:sz w:val="24"/>
          <w:szCs w:val="24"/>
        </w:rPr>
        <w:t>Noninvasive Vent</w:t>
      </w:r>
      <w:r w:rsidR="00DD191B" w:rsidRPr="00D632B2">
        <w:rPr>
          <w:rFonts w:cstheme="minorHAnsi"/>
          <w:b/>
          <w:bCs/>
          <w:color w:val="7030A0"/>
          <w:sz w:val="24"/>
          <w:szCs w:val="24"/>
        </w:rPr>
        <w:t>ilat</w:t>
      </w:r>
      <w:r w:rsidR="002816A9" w:rsidRPr="00D632B2">
        <w:rPr>
          <w:rFonts w:cstheme="minorHAnsi"/>
          <w:b/>
          <w:bCs/>
          <w:color w:val="7030A0"/>
          <w:sz w:val="24"/>
          <w:szCs w:val="24"/>
        </w:rPr>
        <w:t>ion in the Neonate</w:t>
      </w:r>
      <w:r w:rsidR="00DD191B" w:rsidRPr="00D632B2">
        <w:rPr>
          <w:rFonts w:cstheme="minorHAnsi"/>
          <w:b/>
          <w:bCs/>
          <w:color w:val="7030A0"/>
          <w:sz w:val="24"/>
          <w:szCs w:val="24"/>
        </w:rPr>
        <w:t xml:space="preserve"> by:</w:t>
      </w:r>
      <w:r w:rsidRPr="00D632B2">
        <w:rPr>
          <w:rFonts w:cstheme="minorHAnsi"/>
          <w:b/>
          <w:bCs/>
          <w:color w:val="7030A0"/>
          <w:sz w:val="24"/>
          <w:szCs w:val="24"/>
        </w:rPr>
        <w:t xml:space="preserve"> Antonie Soliman, MD</w:t>
      </w:r>
    </w:p>
    <w:p w14:paraId="7FB6E6F8" w14:textId="1580E7AD" w:rsidR="00C02885" w:rsidRPr="00D632B2" w:rsidRDefault="00C02885" w:rsidP="00C02885">
      <w:pPr>
        <w:ind w:left="1440" w:hanging="1440"/>
        <w:rPr>
          <w:sz w:val="24"/>
          <w:szCs w:val="24"/>
        </w:rPr>
      </w:pPr>
      <w:r w:rsidRPr="00D632B2">
        <w:rPr>
          <w:sz w:val="24"/>
          <w:szCs w:val="24"/>
        </w:rPr>
        <w:t>0915 – 1005</w:t>
      </w:r>
      <w:r w:rsidRPr="00D632B2">
        <w:rPr>
          <w:sz w:val="24"/>
          <w:szCs w:val="24"/>
        </w:rPr>
        <w:tab/>
      </w:r>
      <w:r w:rsidRPr="00D632B2">
        <w:rPr>
          <w:b/>
          <w:bCs/>
          <w:sz w:val="24"/>
          <w:szCs w:val="24"/>
        </w:rPr>
        <w:t>Lecture 2</w:t>
      </w:r>
      <w:r w:rsidR="00984B43" w:rsidRPr="00D632B2">
        <w:rPr>
          <w:b/>
          <w:bCs/>
          <w:sz w:val="24"/>
          <w:szCs w:val="24"/>
        </w:rPr>
        <w:t xml:space="preserve">: </w:t>
      </w:r>
      <w:r w:rsidRPr="00D632B2">
        <w:rPr>
          <w:sz w:val="24"/>
          <w:szCs w:val="24"/>
        </w:rPr>
        <w:t xml:space="preserve"> </w:t>
      </w:r>
      <w:r w:rsidR="003A59E7" w:rsidRPr="00D632B2">
        <w:rPr>
          <w:b/>
          <w:bCs/>
          <w:color w:val="7030A0"/>
          <w:sz w:val="24"/>
          <w:szCs w:val="24"/>
        </w:rPr>
        <w:t xml:space="preserve">Give </w:t>
      </w:r>
      <w:r w:rsidR="002816A9" w:rsidRPr="00D632B2">
        <w:rPr>
          <w:b/>
          <w:bCs/>
          <w:color w:val="7030A0"/>
          <w:sz w:val="24"/>
          <w:szCs w:val="24"/>
        </w:rPr>
        <w:t>M</w:t>
      </w:r>
      <w:r w:rsidR="003A59E7" w:rsidRPr="00D632B2">
        <w:rPr>
          <w:b/>
          <w:bCs/>
          <w:color w:val="7030A0"/>
          <w:sz w:val="24"/>
          <w:szCs w:val="24"/>
        </w:rPr>
        <w:t xml:space="preserve">e </w:t>
      </w:r>
      <w:r w:rsidR="002816A9" w:rsidRPr="00D632B2">
        <w:rPr>
          <w:b/>
          <w:bCs/>
          <w:color w:val="7030A0"/>
          <w:sz w:val="24"/>
          <w:szCs w:val="24"/>
        </w:rPr>
        <w:t>A</w:t>
      </w:r>
      <w:r w:rsidR="003A59E7" w:rsidRPr="00D632B2">
        <w:rPr>
          <w:b/>
          <w:bCs/>
          <w:color w:val="7030A0"/>
          <w:sz w:val="24"/>
          <w:szCs w:val="24"/>
        </w:rPr>
        <w:t xml:space="preserve"> </w:t>
      </w:r>
      <w:r w:rsidR="002816A9" w:rsidRPr="00D632B2">
        <w:rPr>
          <w:b/>
          <w:bCs/>
          <w:color w:val="7030A0"/>
          <w:sz w:val="24"/>
          <w:szCs w:val="24"/>
        </w:rPr>
        <w:t>M</w:t>
      </w:r>
      <w:r w:rsidR="003A59E7" w:rsidRPr="00D632B2">
        <w:rPr>
          <w:b/>
          <w:bCs/>
          <w:color w:val="7030A0"/>
          <w:sz w:val="24"/>
          <w:szCs w:val="24"/>
        </w:rPr>
        <w:t xml:space="preserve">inute </w:t>
      </w:r>
      <w:r w:rsidR="00984B43" w:rsidRPr="00D632B2">
        <w:rPr>
          <w:b/>
          <w:bCs/>
          <w:color w:val="7030A0"/>
          <w:sz w:val="24"/>
          <w:szCs w:val="24"/>
        </w:rPr>
        <w:t>to</w:t>
      </w:r>
      <w:r w:rsidR="003A59E7" w:rsidRPr="00D632B2">
        <w:rPr>
          <w:b/>
          <w:bCs/>
          <w:color w:val="7030A0"/>
          <w:sz w:val="24"/>
          <w:szCs w:val="24"/>
        </w:rPr>
        <w:t xml:space="preserve"> </w:t>
      </w:r>
      <w:r w:rsidR="00984B43" w:rsidRPr="00D632B2">
        <w:rPr>
          <w:b/>
          <w:bCs/>
          <w:color w:val="7030A0"/>
          <w:sz w:val="24"/>
          <w:szCs w:val="24"/>
        </w:rPr>
        <w:t>C</w:t>
      </w:r>
      <w:r w:rsidR="003A59E7" w:rsidRPr="00D632B2">
        <w:rPr>
          <w:b/>
          <w:bCs/>
          <w:color w:val="7030A0"/>
          <w:sz w:val="24"/>
          <w:szCs w:val="24"/>
        </w:rPr>
        <w:t xml:space="preserve">atch </w:t>
      </w:r>
      <w:r w:rsidR="00984B43" w:rsidRPr="00D632B2">
        <w:rPr>
          <w:b/>
          <w:bCs/>
          <w:color w:val="7030A0"/>
          <w:sz w:val="24"/>
          <w:szCs w:val="24"/>
        </w:rPr>
        <w:t>M</w:t>
      </w:r>
      <w:r w:rsidR="003A59E7" w:rsidRPr="00D632B2">
        <w:rPr>
          <w:b/>
          <w:bCs/>
          <w:color w:val="7030A0"/>
          <w:sz w:val="24"/>
          <w:szCs w:val="24"/>
        </w:rPr>
        <w:t xml:space="preserve">y </w:t>
      </w:r>
      <w:r w:rsidR="00984B43" w:rsidRPr="00D632B2">
        <w:rPr>
          <w:b/>
          <w:bCs/>
          <w:color w:val="7030A0"/>
          <w:sz w:val="24"/>
          <w:szCs w:val="24"/>
        </w:rPr>
        <w:t>B</w:t>
      </w:r>
      <w:r w:rsidR="003A59E7" w:rsidRPr="00D632B2">
        <w:rPr>
          <w:b/>
          <w:bCs/>
          <w:color w:val="7030A0"/>
          <w:sz w:val="24"/>
          <w:szCs w:val="24"/>
        </w:rPr>
        <w:t xml:space="preserve">reath: An </w:t>
      </w:r>
      <w:r w:rsidR="00984B43" w:rsidRPr="00D632B2">
        <w:rPr>
          <w:b/>
          <w:bCs/>
          <w:color w:val="7030A0"/>
          <w:sz w:val="24"/>
          <w:szCs w:val="24"/>
        </w:rPr>
        <w:t>u</w:t>
      </w:r>
      <w:r w:rsidR="003A59E7" w:rsidRPr="00D632B2">
        <w:rPr>
          <w:b/>
          <w:bCs/>
          <w:color w:val="7030A0"/>
          <w:sz w:val="24"/>
          <w:szCs w:val="24"/>
        </w:rPr>
        <w:t>pdate on Pediatric Respiratory Failure by: Christopher Babbit, MD, FCCP</w:t>
      </w:r>
    </w:p>
    <w:p w14:paraId="26C7C3B0" w14:textId="4A9B2CA0" w:rsidR="00C02885" w:rsidRPr="00D632B2" w:rsidRDefault="00C02885" w:rsidP="00C02885">
      <w:pPr>
        <w:rPr>
          <w:b/>
          <w:bCs/>
          <w:sz w:val="24"/>
          <w:szCs w:val="24"/>
        </w:rPr>
      </w:pPr>
      <w:r w:rsidRPr="00D632B2">
        <w:rPr>
          <w:sz w:val="24"/>
          <w:szCs w:val="24"/>
        </w:rPr>
        <w:t>1005 – 1020</w:t>
      </w:r>
      <w:r w:rsidRPr="00D632B2">
        <w:rPr>
          <w:sz w:val="24"/>
          <w:szCs w:val="24"/>
        </w:rPr>
        <w:tab/>
      </w:r>
      <w:r w:rsidRPr="00D632B2">
        <w:rPr>
          <w:b/>
          <w:bCs/>
          <w:sz w:val="24"/>
          <w:szCs w:val="24"/>
        </w:rPr>
        <w:t>Break</w:t>
      </w:r>
    </w:p>
    <w:p w14:paraId="58AAF9B3" w14:textId="6DBEAD70" w:rsidR="00C02885" w:rsidRPr="00D632B2" w:rsidRDefault="00C02885" w:rsidP="00C02885">
      <w:pPr>
        <w:rPr>
          <w:sz w:val="24"/>
          <w:szCs w:val="24"/>
        </w:rPr>
      </w:pPr>
      <w:r w:rsidRPr="00D632B2">
        <w:rPr>
          <w:sz w:val="24"/>
          <w:szCs w:val="24"/>
        </w:rPr>
        <w:t xml:space="preserve">1020 – 1110 </w:t>
      </w:r>
      <w:r w:rsidRPr="00D632B2">
        <w:rPr>
          <w:sz w:val="24"/>
          <w:szCs w:val="24"/>
        </w:rPr>
        <w:tab/>
      </w:r>
      <w:r w:rsidRPr="00D632B2">
        <w:rPr>
          <w:b/>
          <w:bCs/>
          <w:sz w:val="24"/>
          <w:szCs w:val="24"/>
        </w:rPr>
        <w:t>Lecture 3</w:t>
      </w:r>
      <w:r w:rsidR="00984B43" w:rsidRPr="00D632B2">
        <w:rPr>
          <w:b/>
          <w:bCs/>
          <w:sz w:val="24"/>
          <w:szCs w:val="24"/>
        </w:rPr>
        <w:t>:</w:t>
      </w:r>
      <w:r w:rsidRPr="00D632B2">
        <w:rPr>
          <w:b/>
          <w:bCs/>
          <w:sz w:val="24"/>
          <w:szCs w:val="24"/>
        </w:rPr>
        <w:t xml:space="preserve"> </w:t>
      </w:r>
      <w:r w:rsidR="00984B43" w:rsidRPr="00D632B2">
        <w:rPr>
          <w:b/>
          <w:bCs/>
          <w:sz w:val="24"/>
          <w:szCs w:val="24"/>
        </w:rPr>
        <w:t xml:space="preserve"> </w:t>
      </w:r>
      <w:r w:rsidR="00031484" w:rsidRPr="00D632B2">
        <w:rPr>
          <w:b/>
          <w:bCs/>
          <w:color w:val="7030A0"/>
          <w:sz w:val="24"/>
          <w:szCs w:val="24"/>
        </w:rPr>
        <w:t>Bronchi</w:t>
      </w:r>
      <w:r w:rsidR="00633CD4" w:rsidRPr="00D632B2">
        <w:rPr>
          <w:b/>
          <w:bCs/>
          <w:color w:val="7030A0"/>
          <w:sz w:val="24"/>
          <w:szCs w:val="24"/>
        </w:rPr>
        <w:t>oli</w:t>
      </w:r>
      <w:r w:rsidR="00031484" w:rsidRPr="00D632B2">
        <w:rPr>
          <w:b/>
          <w:bCs/>
          <w:color w:val="7030A0"/>
          <w:sz w:val="24"/>
          <w:szCs w:val="24"/>
        </w:rPr>
        <w:t>tis in Transport By: Monique Steffani, CSRC</w:t>
      </w:r>
      <w:r w:rsidR="00031484" w:rsidRPr="00D632B2">
        <w:rPr>
          <w:color w:val="7030A0"/>
          <w:sz w:val="24"/>
          <w:szCs w:val="24"/>
        </w:rPr>
        <w:t xml:space="preserve"> </w:t>
      </w:r>
    </w:p>
    <w:p w14:paraId="323A1BCC" w14:textId="4710A64F" w:rsidR="00C02885" w:rsidRPr="00D632B2" w:rsidRDefault="00C02885" w:rsidP="00C02885">
      <w:pPr>
        <w:rPr>
          <w:color w:val="7030A0"/>
          <w:sz w:val="24"/>
          <w:szCs w:val="24"/>
        </w:rPr>
      </w:pPr>
      <w:r w:rsidRPr="00D632B2">
        <w:rPr>
          <w:sz w:val="24"/>
          <w:szCs w:val="24"/>
        </w:rPr>
        <w:t>1110 – 1200</w:t>
      </w:r>
      <w:r w:rsidRPr="00D632B2">
        <w:rPr>
          <w:sz w:val="24"/>
          <w:szCs w:val="24"/>
        </w:rPr>
        <w:tab/>
      </w:r>
      <w:r w:rsidRPr="00D632B2">
        <w:rPr>
          <w:b/>
          <w:bCs/>
          <w:sz w:val="24"/>
          <w:szCs w:val="24"/>
        </w:rPr>
        <w:t>Lecture 4</w:t>
      </w:r>
      <w:r w:rsidR="00984B43" w:rsidRPr="00D632B2">
        <w:rPr>
          <w:b/>
          <w:bCs/>
          <w:sz w:val="24"/>
          <w:szCs w:val="24"/>
        </w:rPr>
        <w:t>:</w:t>
      </w:r>
      <w:r w:rsidRPr="00D632B2">
        <w:rPr>
          <w:sz w:val="24"/>
          <w:szCs w:val="24"/>
        </w:rPr>
        <w:t xml:space="preserve"> </w:t>
      </w:r>
      <w:r w:rsidR="00984B43" w:rsidRPr="00D632B2">
        <w:rPr>
          <w:sz w:val="24"/>
          <w:szCs w:val="24"/>
        </w:rPr>
        <w:t xml:space="preserve"> </w:t>
      </w:r>
      <w:r w:rsidR="00031484" w:rsidRPr="00D632B2">
        <w:rPr>
          <w:b/>
          <w:bCs/>
          <w:color w:val="7030A0"/>
          <w:sz w:val="24"/>
          <w:szCs w:val="24"/>
        </w:rPr>
        <w:t xml:space="preserve">Changing the Landscape of Asthma By: Inderpal Randhawa, MD </w:t>
      </w:r>
    </w:p>
    <w:p w14:paraId="7A493DCB" w14:textId="104ABC49" w:rsidR="00C02885" w:rsidRPr="00D632B2" w:rsidRDefault="00C02885" w:rsidP="00C02885">
      <w:pPr>
        <w:rPr>
          <w:sz w:val="24"/>
          <w:szCs w:val="24"/>
        </w:rPr>
      </w:pPr>
      <w:r w:rsidRPr="00D632B2">
        <w:rPr>
          <w:sz w:val="24"/>
          <w:szCs w:val="24"/>
        </w:rPr>
        <w:t xml:space="preserve">1200 – 1400 </w:t>
      </w:r>
      <w:r w:rsidRPr="00D632B2">
        <w:rPr>
          <w:sz w:val="24"/>
          <w:szCs w:val="24"/>
        </w:rPr>
        <w:tab/>
      </w:r>
      <w:r w:rsidRPr="00D632B2">
        <w:rPr>
          <w:b/>
          <w:bCs/>
          <w:sz w:val="24"/>
          <w:szCs w:val="24"/>
        </w:rPr>
        <w:t>Lunch</w:t>
      </w:r>
      <w:r w:rsidR="00984B43" w:rsidRPr="00D632B2">
        <w:rPr>
          <w:b/>
          <w:bCs/>
          <w:sz w:val="24"/>
          <w:szCs w:val="24"/>
        </w:rPr>
        <w:t xml:space="preserve"> &amp; Vendor Fair</w:t>
      </w:r>
    </w:p>
    <w:p w14:paraId="66D48908" w14:textId="64C91205" w:rsidR="00C02885" w:rsidRPr="00D632B2" w:rsidRDefault="00C02885" w:rsidP="00C02885">
      <w:pPr>
        <w:shd w:val="clear" w:color="auto" w:fill="FFFFFF"/>
        <w:ind w:left="1440" w:hanging="1440"/>
        <w:rPr>
          <w:rFonts w:ascii="Roboto" w:eastAsia="Times New Roman" w:hAnsi="Roboto" w:cs="Times New Roman"/>
          <w:color w:val="000000" w:themeColor="text1"/>
          <w:sz w:val="24"/>
          <w:szCs w:val="24"/>
        </w:rPr>
      </w:pPr>
      <w:r w:rsidRPr="00D632B2">
        <w:rPr>
          <w:sz w:val="24"/>
          <w:szCs w:val="24"/>
        </w:rPr>
        <w:t xml:space="preserve">1400 – 1450 </w:t>
      </w:r>
      <w:r w:rsidRPr="00D632B2">
        <w:rPr>
          <w:sz w:val="24"/>
          <w:szCs w:val="24"/>
        </w:rPr>
        <w:tab/>
      </w:r>
      <w:r w:rsidRPr="00D632B2">
        <w:rPr>
          <w:b/>
          <w:bCs/>
          <w:color w:val="000000" w:themeColor="text1"/>
          <w:sz w:val="24"/>
          <w:szCs w:val="24"/>
        </w:rPr>
        <w:t>Lecture 5</w:t>
      </w:r>
      <w:r w:rsidR="00984B43" w:rsidRPr="00D632B2">
        <w:rPr>
          <w:b/>
          <w:bCs/>
          <w:color w:val="000000" w:themeColor="text1"/>
          <w:sz w:val="24"/>
          <w:szCs w:val="24"/>
        </w:rPr>
        <w:t>:</w:t>
      </w:r>
      <w:r w:rsidRPr="00D632B2">
        <w:rPr>
          <w:b/>
          <w:bCs/>
          <w:color w:val="000000" w:themeColor="text1"/>
          <w:sz w:val="24"/>
          <w:szCs w:val="24"/>
        </w:rPr>
        <w:t xml:space="preserve"> </w:t>
      </w:r>
      <w:r w:rsidR="00984B43" w:rsidRPr="00D632B2">
        <w:rPr>
          <w:b/>
          <w:bCs/>
          <w:color w:val="000000" w:themeColor="text1"/>
          <w:sz w:val="24"/>
          <w:szCs w:val="24"/>
        </w:rPr>
        <w:t xml:space="preserve"> </w:t>
      </w:r>
      <w:r w:rsidR="003A59E7" w:rsidRPr="00D632B2">
        <w:rPr>
          <w:b/>
          <w:bCs/>
          <w:color w:val="7030A0"/>
          <w:sz w:val="24"/>
          <w:szCs w:val="24"/>
        </w:rPr>
        <w:t xml:space="preserve">Impact of CPAP </w:t>
      </w:r>
      <w:r w:rsidR="00984B43" w:rsidRPr="00D632B2">
        <w:rPr>
          <w:b/>
          <w:bCs/>
          <w:color w:val="7030A0"/>
          <w:sz w:val="24"/>
          <w:szCs w:val="24"/>
        </w:rPr>
        <w:t>D</w:t>
      </w:r>
      <w:r w:rsidR="003A59E7" w:rsidRPr="00D632B2">
        <w:rPr>
          <w:b/>
          <w:bCs/>
          <w:color w:val="7030A0"/>
          <w:sz w:val="24"/>
          <w:szCs w:val="24"/>
        </w:rPr>
        <w:t>evices on Head Molding in the NICU By: Mary Wardell, PT</w:t>
      </w:r>
    </w:p>
    <w:p w14:paraId="0299F484" w14:textId="10C5242F" w:rsidR="00C02885" w:rsidRPr="00D632B2" w:rsidRDefault="00C02885" w:rsidP="00294B55">
      <w:pPr>
        <w:ind w:left="1440" w:hanging="1440"/>
        <w:rPr>
          <w:b/>
          <w:bCs/>
          <w:color w:val="7030A0"/>
          <w:sz w:val="24"/>
          <w:szCs w:val="24"/>
        </w:rPr>
      </w:pPr>
      <w:r w:rsidRPr="00D632B2">
        <w:rPr>
          <w:sz w:val="24"/>
          <w:szCs w:val="24"/>
        </w:rPr>
        <w:t>1450 – 1540</w:t>
      </w:r>
      <w:r w:rsidRPr="00D632B2">
        <w:rPr>
          <w:sz w:val="24"/>
          <w:szCs w:val="24"/>
        </w:rPr>
        <w:tab/>
      </w:r>
      <w:r w:rsidRPr="00D632B2">
        <w:rPr>
          <w:b/>
          <w:bCs/>
          <w:sz w:val="24"/>
          <w:szCs w:val="24"/>
        </w:rPr>
        <w:t>Lecture 6</w:t>
      </w:r>
      <w:r w:rsidR="00984B43" w:rsidRPr="00D632B2">
        <w:rPr>
          <w:b/>
          <w:bCs/>
          <w:sz w:val="24"/>
          <w:szCs w:val="24"/>
        </w:rPr>
        <w:t>:</w:t>
      </w:r>
      <w:r w:rsidRPr="00D632B2">
        <w:rPr>
          <w:sz w:val="24"/>
          <w:szCs w:val="24"/>
        </w:rPr>
        <w:t xml:space="preserve"> </w:t>
      </w:r>
      <w:r w:rsidR="00984B43" w:rsidRPr="00D632B2">
        <w:rPr>
          <w:sz w:val="24"/>
          <w:szCs w:val="24"/>
        </w:rPr>
        <w:t xml:space="preserve"> </w:t>
      </w:r>
      <w:r w:rsidR="006F0E79" w:rsidRPr="00D632B2">
        <w:rPr>
          <w:b/>
          <w:bCs/>
          <w:color w:val="7030A0"/>
          <w:sz w:val="24"/>
          <w:szCs w:val="24"/>
        </w:rPr>
        <w:t>First Intention Ventilation Modalities for Neonates</w:t>
      </w:r>
      <w:r w:rsidR="00623812" w:rsidRPr="00D632B2">
        <w:rPr>
          <w:b/>
          <w:bCs/>
          <w:color w:val="7030A0"/>
          <w:sz w:val="24"/>
          <w:szCs w:val="24"/>
        </w:rPr>
        <w:t xml:space="preserve"> &lt;27 weeks </w:t>
      </w:r>
      <w:proofErr w:type="gramStart"/>
      <w:r w:rsidR="00623812" w:rsidRPr="00D632B2">
        <w:rPr>
          <w:b/>
          <w:bCs/>
          <w:color w:val="7030A0"/>
          <w:sz w:val="24"/>
          <w:szCs w:val="24"/>
        </w:rPr>
        <w:t>By</w:t>
      </w:r>
      <w:proofErr w:type="gramEnd"/>
      <w:r w:rsidR="00623812" w:rsidRPr="00D632B2">
        <w:rPr>
          <w:b/>
          <w:bCs/>
          <w:color w:val="7030A0"/>
          <w:sz w:val="24"/>
          <w:szCs w:val="24"/>
        </w:rPr>
        <w:t>:</w:t>
      </w:r>
      <w:r w:rsidRPr="00D632B2">
        <w:rPr>
          <w:b/>
          <w:bCs/>
          <w:color w:val="7030A0"/>
          <w:sz w:val="24"/>
          <w:szCs w:val="24"/>
        </w:rPr>
        <w:t xml:space="preserve"> Albert Antonio, MD </w:t>
      </w:r>
      <w:r w:rsidRPr="00D632B2">
        <w:rPr>
          <w:color w:val="7030A0"/>
          <w:sz w:val="24"/>
          <w:szCs w:val="24"/>
        </w:rPr>
        <w:t xml:space="preserve"> </w:t>
      </w:r>
    </w:p>
    <w:p w14:paraId="51D3AAFB" w14:textId="7AE97A86" w:rsidR="00C02885" w:rsidRPr="00D632B2" w:rsidRDefault="00C02885" w:rsidP="007F7CF5">
      <w:pPr>
        <w:rPr>
          <w:sz w:val="24"/>
          <w:szCs w:val="24"/>
        </w:rPr>
      </w:pPr>
      <w:r w:rsidRPr="00D632B2">
        <w:rPr>
          <w:sz w:val="24"/>
          <w:szCs w:val="24"/>
        </w:rPr>
        <w:t>1540 – 1600</w:t>
      </w:r>
      <w:r w:rsidRPr="00D632B2">
        <w:rPr>
          <w:sz w:val="24"/>
          <w:szCs w:val="24"/>
        </w:rPr>
        <w:tab/>
        <w:t>Closing remarks, how to claim your CEUs</w:t>
      </w:r>
    </w:p>
    <w:p w14:paraId="7EFD4C18" w14:textId="77777777" w:rsidR="007F7CF5" w:rsidRDefault="007F7CF5" w:rsidP="007F7CF5">
      <w:pPr>
        <w:rPr>
          <w:kern w:val="2"/>
          <w:sz w:val="18"/>
          <w:szCs w:val="18"/>
          <w14:ligatures w14:val="standardContextual"/>
        </w:rPr>
      </w:pPr>
    </w:p>
    <w:p w14:paraId="5DCA016A" w14:textId="21E10D9B" w:rsidR="00C02885" w:rsidRPr="007F7CF5" w:rsidRDefault="00C02885" w:rsidP="00984B43">
      <w:pPr>
        <w:rPr>
          <w:kern w:val="2"/>
          <w:sz w:val="16"/>
          <w:szCs w:val="16"/>
          <w14:ligatures w14:val="standardContextual"/>
        </w:rPr>
      </w:pPr>
      <w:r w:rsidRPr="007F7CF5">
        <w:rPr>
          <w:kern w:val="2"/>
          <w:sz w:val="16"/>
          <w:szCs w:val="16"/>
          <w14:ligatures w14:val="standardContextual"/>
        </w:rPr>
        <w:t>Within two weeks following the conclusion of the conference, you can expect to receive an email from the CSRC. This email will contain essential information on how to access your evaluation and Continuing Education (CE) credits for attending the event. Additionally, you will find a link to view the PowerPoints from the insightful lectures presented during the conference.</w:t>
      </w:r>
    </w:p>
    <w:p w14:paraId="29A53825" w14:textId="77777777" w:rsidR="00C02885" w:rsidRPr="007F7CF5" w:rsidRDefault="00C02885" w:rsidP="00984B43">
      <w:pPr>
        <w:rPr>
          <w:kern w:val="2"/>
          <w:sz w:val="16"/>
          <w:szCs w:val="16"/>
          <w14:ligatures w14:val="standardContextual"/>
        </w:rPr>
      </w:pPr>
      <w:r w:rsidRPr="007F7CF5">
        <w:rPr>
          <w:kern w:val="2"/>
          <w:sz w:val="16"/>
          <w:szCs w:val="16"/>
          <w14:ligatures w14:val="standardContextual"/>
        </w:rPr>
        <w:t xml:space="preserve">Should you have any inquiries or concerns, please feel free to reach out to us at </w:t>
      </w:r>
      <w:hyperlink r:id="rId12" w:history="1">
        <w:r w:rsidRPr="007F7CF5">
          <w:rPr>
            <w:rStyle w:val="Hyperlink"/>
            <w:kern w:val="2"/>
            <w:sz w:val="16"/>
            <w:szCs w:val="16"/>
            <w14:ligatures w14:val="standardContextual"/>
          </w:rPr>
          <w:t>office@csrc.org</w:t>
        </w:r>
      </w:hyperlink>
      <w:r w:rsidRPr="007F7CF5">
        <w:rPr>
          <w:kern w:val="2"/>
          <w:sz w:val="16"/>
          <w:szCs w:val="16"/>
          <w14:ligatures w14:val="standardContextual"/>
        </w:rPr>
        <w:t>. Our team will be more than happy to assist you.</w:t>
      </w:r>
    </w:p>
    <w:p w14:paraId="48347660" w14:textId="486596F4" w:rsidR="00C45F5D" w:rsidRDefault="00C02885" w:rsidP="00C02885">
      <w:pPr>
        <w:jc w:val="center"/>
        <w:rPr>
          <w:sz w:val="40"/>
          <w:szCs w:val="40"/>
        </w:rPr>
      </w:pPr>
      <w:r w:rsidRPr="007354D5">
        <w:rPr>
          <w:sz w:val="40"/>
          <w:szCs w:val="40"/>
        </w:rPr>
        <w:t>A Special Thank you to our sponsors</w:t>
      </w:r>
      <w:r>
        <w:rPr>
          <w:sz w:val="40"/>
          <w:szCs w:val="40"/>
        </w:rPr>
        <w:t>!</w:t>
      </w:r>
    </w:p>
    <w:p w14:paraId="4291C4C6" w14:textId="77777777" w:rsidR="00543D46" w:rsidRDefault="00543D46" w:rsidP="00C02885">
      <w:pPr>
        <w:jc w:val="center"/>
        <w:rPr>
          <w:sz w:val="40"/>
          <w:szCs w:val="40"/>
        </w:rPr>
      </w:pPr>
    </w:p>
    <w:p w14:paraId="7F75D67A" w14:textId="77777777" w:rsidR="00543D46" w:rsidRPr="00543D46" w:rsidRDefault="00543D46" w:rsidP="00543D46">
      <w:pPr>
        <w:jc w:val="center"/>
        <w:rPr>
          <w:rFonts w:ascii="Calibri" w:eastAsia="Calibri" w:hAnsi="Calibri" w:cs="Times New Roman"/>
          <w:sz w:val="40"/>
          <w:szCs w:val="40"/>
        </w:rPr>
      </w:pPr>
    </w:p>
    <w:p w14:paraId="66B1F42A" w14:textId="77777777" w:rsidR="00543D46" w:rsidRPr="00637F72" w:rsidRDefault="00543D46" w:rsidP="00543D46">
      <w:pPr>
        <w:jc w:val="center"/>
        <w:rPr>
          <w:rFonts w:ascii="Calibri" w:eastAsia="Calibri" w:hAnsi="Calibri" w:cs="Times New Roman"/>
          <w:b/>
          <w:bCs/>
          <w:sz w:val="72"/>
          <w:szCs w:val="72"/>
          <w:u w:val="single"/>
        </w:rPr>
      </w:pPr>
      <w:r w:rsidRPr="00637F72">
        <w:rPr>
          <w:rFonts w:ascii="Calibri" w:eastAsia="Calibri" w:hAnsi="Calibri" w:cs="Times New Roman"/>
          <w:b/>
          <w:bCs/>
          <w:sz w:val="72"/>
          <w:szCs w:val="72"/>
          <w:u w:val="single"/>
        </w:rPr>
        <w:t>Silver Sponsors</w:t>
      </w:r>
    </w:p>
    <w:p w14:paraId="53F0D42F" w14:textId="2EA08558" w:rsidR="00543D46" w:rsidRPr="00543D46" w:rsidRDefault="00543D46" w:rsidP="00637F72">
      <w:pPr>
        <w:jc w:val="center"/>
        <w:rPr>
          <w:rFonts w:ascii="Calibri" w:eastAsia="Calibri" w:hAnsi="Calibri" w:cs="Times New Roman"/>
        </w:rPr>
      </w:pPr>
      <w:r w:rsidRPr="00543D46">
        <w:rPr>
          <w:rFonts w:ascii="Calibri" w:eastAsia="Calibri" w:hAnsi="Calibri" w:cs="Times New Roman"/>
          <w:noProof/>
          <w:sz w:val="40"/>
          <w:szCs w:val="40"/>
        </w:rPr>
        <w:drawing>
          <wp:inline distT="0" distB="0" distL="0" distR="0" wp14:anchorId="3CEAD77A" wp14:editId="1D80BE69">
            <wp:extent cx="3331210" cy="705449"/>
            <wp:effectExtent l="0" t="0" r="0"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345" b="16637"/>
                    <a:stretch/>
                  </pic:blipFill>
                  <pic:spPr bwMode="auto">
                    <a:xfrm>
                      <a:off x="0" y="0"/>
                      <a:ext cx="3480026" cy="736964"/>
                    </a:xfrm>
                    <a:prstGeom prst="rect">
                      <a:avLst/>
                    </a:prstGeom>
                    <a:noFill/>
                    <a:ln>
                      <a:noFill/>
                    </a:ln>
                    <a:extLst>
                      <a:ext uri="{53640926-AAD7-44D8-BBD7-CCE9431645EC}">
                        <a14:shadowObscured xmlns:a14="http://schemas.microsoft.com/office/drawing/2010/main"/>
                      </a:ext>
                    </a:extLst>
                  </pic:spPr>
                </pic:pic>
              </a:graphicData>
            </a:graphic>
          </wp:inline>
        </w:drawing>
      </w:r>
      <w:r w:rsidR="00D632B2">
        <w:rPr>
          <w:noProof/>
          <w14:ligatures w14:val="standardContextual"/>
        </w:rPr>
        <w:t xml:space="preserve">  </w:t>
      </w:r>
      <w:r w:rsidR="00637F72">
        <w:rPr>
          <w:noProof/>
          <w14:ligatures w14:val="standardContextual"/>
        </w:rPr>
        <w:drawing>
          <wp:inline distT="0" distB="0" distL="0" distR="0" wp14:anchorId="56FB4526" wp14:editId="1E38890A">
            <wp:extent cx="2325754" cy="685800"/>
            <wp:effectExtent l="0" t="0" r="0" b="0"/>
            <wp:docPr id="1015948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48741" name=""/>
                    <pic:cNvPicPr/>
                  </pic:nvPicPr>
                  <pic:blipFill>
                    <a:blip r:embed="rId14"/>
                    <a:stretch>
                      <a:fillRect/>
                    </a:stretch>
                  </pic:blipFill>
                  <pic:spPr>
                    <a:xfrm>
                      <a:off x="0" y="0"/>
                      <a:ext cx="2333808" cy="688175"/>
                    </a:xfrm>
                    <a:prstGeom prst="rect">
                      <a:avLst/>
                    </a:prstGeom>
                  </pic:spPr>
                </pic:pic>
              </a:graphicData>
            </a:graphic>
          </wp:inline>
        </w:drawing>
      </w:r>
    </w:p>
    <w:p w14:paraId="5909029D" w14:textId="77777777" w:rsidR="00543D46" w:rsidRPr="00543D46" w:rsidRDefault="00543D46" w:rsidP="00543D46">
      <w:pPr>
        <w:jc w:val="center"/>
        <w:rPr>
          <w:rFonts w:ascii="Calibri" w:eastAsia="Calibri" w:hAnsi="Calibri" w:cs="Times New Roman"/>
          <w:b/>
          <w:bCs/>
          <w:sz w:val="44"/>
          <w:szCs w:val="44"/>
          <w:u w:val="single"/>
        </w:rPr>
      </w:pPr>
    </w:p>
    <w:p w14:paraId="49B61E52" w14:textId="77777777" w:rsidR="00543D46" w:rsidRPr="00637F72" w:rsidRDefault="00543D46" w:rsidP="00637F72">
      <w:pPr>
        <w:spacing w:line="360" w:lineRule="auto"/>
        <w:jc w:val="center"/>
        <w:rPr>
          <w:rFonts w:ascii="Calibri" w:eastAsia="Calibri" w:hAnsi="Calibri" w:cs="Times New Roman"/>
          <w:b/>
          <w:bCs/>
          <w:sz w:val="56"/>
          <w:szCs w:val="56"/>
          <w:u w:val="single"/>
        </w:rPr>
      </w:pPr>
      <w:r w:rsidRPr="00637F72">
        <w:rPr>
          <w:rFonts w:ascii="Calibri" w:eastAsia="Calibri" w:hAnsi="Calibri" w:cs="Times New Roman"/>
          <w:b/>
          <w:bCs/>
          <w:sz w:val="56"/>
          <w:szCs w:val="56"/>
          <w:u w:val="single"/>
        </w:rPr>
        <w:t>Bronze Sponsors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471"/>
      </w:tblGrid>
      <w:tr w:rsidR="00543D46" w:rsidRPr="00543D46" w14:paraId="5875DEA2" w14:textId="77777777" w:rsidTr="00637F72">
        <w:trPr>
          <w:trHeight w:val="6723"/>
        </w:trPr>
        <w:tc>
          <w:tcPr>
            <w:tcW w:w="6120" w:type="dxa"/>
            <w:vAlign w:val="center"/>
          </w:tcPr>
          <w:p w14:paraId="6AB60F18" w14:textId="77777777" w:rsidR="00543D46" w:rsidRPr="00543D46" w:rsidRDefault="00543D46" w:rsidP="00637F72">
            <w:pPr>
              <w:spacing w:before="240" w:after="0" w:line="276" w:lineRule="auto"/>
              <w:jc w:val="center"/>
              <w:rPr>
                <w:rFonts w:ascii="Calibri" w:eastAsia="Calibri" w:hAnsi="Calibri" w:cs="Times New Roman"/>
                <w:sz w:val="44"/>
                <w:szCs w:val="44"/>
              </w:rPr>
            </w:pPr>
            <w:r w:rsidRPr="00543D46">
              <w:rPr>
                <w:rFonts w:ascii="Calibri" w:eastAsia="Calibri" w:hAnsi="Calibri" w:cs="Times New Roman"/>
                <w:sz w:val="44"/>
                <w:szCs w:val="44"/>
              </w:rPr>
              <w:t>Siemens</w:t>
            </w:r>
          </w:p>
          <w:p w14:paraId="656E0DB8" w14:textId="77777777" w:rsidR="00543D46" w:rsidRPr="00543D46" w:rsidRDefault="00543D46" w:rsidP="00637F72">
            <w:pPr>
              <w:spacing w:after="0" w:line="360" w:lineRule="auto"/>
              <w:jc w:val="center"/>
              <w:rPr>
                <w:rFonts w:ascii="Calibri" w:eastAsia="Calibri" w:hAnsi="Calibri" w:cs="Times New Roman"/>
                <w:sz w:val="44"/>
                <w:szCs w:val="44"/>
              </w:rPr>
            </w:pPr>
            <w:r w:rsidRPr="00543D46">
              <w:rPr>
                <w:rFonts w:ascii="Calibri" w:eastAsia="Calibri" w:hAnsi="Calibri" w:cs="Times New Roman"/>
                <w:sz w:val="44"/>
                <w:szCs w:val="44"/>
              </w:rPr>
              <w:t>Vero Bio-Tech</w:t>
            </w:r>
          </w:p>
          <w:p w14:paraId="4A112B4D" w14:textId="77777777" w:rsidR="00543D46" w:rsidRPr="00543D46" w:rsidRDefault="00543D46" w:rsidP="00637F72">
            <w:pPr>
              <w:spacing w:after="0" w:line="360" w:lineRule="auto"/>
              <w:jc w:val="center"/>
              <w:rPr>
                <w:rFonts w:ascii="Calibri" w:eastAsia="Calibri" w:hAnsi="Calibri" w:cs="Times New Roman"/>
                <w:sz w:val="44"/>
                <w:szCs w:val="44"/>
              </w:rPr>
            </w:pPr>
            <w:r w:rsidRPr="00543D46">
              <w:rPr>
                <w:rFonts w:ascii="Calibri" w:eastAsia="Calibri" w:hAnsi="Calibri" w:cs="Times New Roman"/>
                <w:sz w:val="44"/>
                <w:szCs w:val="44"/>
              </w:rPr>
              <w:t>Med One Group</w:t>
            </w:r>
          </w:p>
          <w:p w14:paraId="0FB7128D" w14:textId="77777777" w:rsidR="00543D46" w:rsidRDefault="00543D46" w:rsidP="00637F72">
            <w:pPr>
              <w:spacing w:after="0" w:line="360" w:lineRule="auto"/>
              <w:jc w:val="center"/>
              <w:rPr>
                <w:rFonts w:ascii="Calibri" w:eastAsia="Calibri" w:hAnsi="Calibri" w:cs="Times New Roman"/>
                <w:sz w:val="44"/>
                <w:szCs w:val="44"/>
              </w:rPr>
            </w:pPr>
            <w:r w:rsidRPr="00543D46">
              <w:rPr>
                <w:rFonts w:ascii="Calibri" w:eastAsia="Calibri" w:hAnsi="Calibri" w:cs="Times New Roman"/>
                <w:sz w:val="44"/>
                <w:szCs w:val="44"/>
              </w:rPr>
              <w:t>Providence</w:t>
            </w:r>
          </w:p>
          <w:p w14:paraId="66642A28" w14:textId="6F91D083" w:rsidR="00637F72" w:rsidRPr="00543D46" w:rsidRDefault="00637F72" w:rsidP="00637F72">
            <w:pPr>
              <w:spacing w:after="0" w:line="360" w:lineRule="auto"/>
              <w:jc w:val="center"/>
              <w:rPr>
                <w:rFonts w:ascii="Calibri" w:eastAsia="Calibri" w:hAnsi="Calibri" w:cs="Times New Roman"/>
                <w:sz w:val="44"/>
                <w:szCs w:val="44"/>
              </w:rPr>
            </w:pPr>
            <w:r>
              <w:rPr>
                <w:rFonts w:ascii="Calibri" w:eastAsia="Calibri" w:hAnsi="Calibri" w:cs="Times New Roman"/>
                <w:sz w:val="44"/>
                <w:szCs w:val="44"/>
              </w:rPr>
              <w:t xml:space="preserve">Siemens </w:t>
            </w:r>
            <w:proofErr w:type="spellStart"/>
            <w:r>
              <w:rPr>
                <w:rFonts w:ascii="Calibri" w:eastAsia="Calibri" w:hAnsi="Calibri" w:cs="Times New Roman"/>
                <w:sz w:val="44"/>
                <w:szCs w:val="44"/>
              </w:rPr>
              <w:t>Healtineers</w:t>
            </w:r>
            <w:proofErr w:type="spellEnd"/>
          </w:p>
          <w:p w14:paraId="7D4F5C13" w14:textId="57A626D1" w:rsidR="00543D46" w:rsidRPr="00543D46" w:rsidRDefault="00543D46" w:rsidP="00637F72">
            <w:pPr>
              <w:spacing w:after="0" w:line="360" w:lineRule="auto"/>
              <w:jc w:val="center"/>
              <w:rPr>
                <w:rFonts w:ascii="Calibri" w:eastAsia="Calibri" w:hAnsi="Calibri" w:cs="Times New Roman"/>
                <w:sz w:val="44"/>
                <w:szCs w:val="44"/>
              </w:rPr>
            </w:pPr>
            <w:r w:rsidRPr="00543D46">
              <w:rPr>
                <w:rFonts w:ascii="Calibri" w:eastAsia="Calibri" w:hAnsi="Calibri" w:cs="Times New Roman"/>
                <w:sz w:val="44"/>
                <w:szCs w:val="44"/>
              </w:rPr>
              <w:t>Mallinckrodt</w:t>
            </w:r>
            <w:r w:rsidR="00637F72">
              <w:rPr>
                <w:rFonts w:ascii="Calibri" w:eastAsia="Calibri" w:hAnsi="Calibri" w:cs="Times New Roman"/>
                <w:sz w:val="44"/>
                <w:szCs w:val="44"/>
              </w:rPr>
              <w:t xml:space="preserve"> </w:t>
            </w:r>
            <w:r w:rsidRPr="00543D46">
              <w:rPr>
                <w:rFonts w:ascii="Calibri" w:eastAsia="Calibri" w:hAnsi="Calibri" w:cs="Times New Roman"/>
                <w:sz w:val="44"/>
                <w:szCs w:val="44"/>
              </w:rPr>
              <w:t>Pharmaceuticals</w:t>
            </w:r>
          </w:p>
          <w:p w14:paraId="688C2F39" w14:textId="77777777" w:rsidR="00543D46" w:rsidRPr="00543D46" w:rsidRDefault="00543D46" w:rsidP="00637F72">
            <w:pPr>
              <w:spacing w:after="0" w:line="360" w:lineRule="auto"/>
              <w:jc w:val="center"/>
              <w:rPr>
                <w:rFonts w:ascii="Calibri" w:eastAsia="Calibri" w:hAnsi="Calibri" w:cs="Times New Roman"/>
                <w:sz w:val="44"/>
                <w:szCs w:val="44"/>
              </w:rPr>
            </w:pPr>
            <w:r w:rsidRPr="00543D46">
              <w:rPr>
                <w:rFonts w:ascii="Calibri" w:eastAsia="Calibri" w:hAnsi="Calibri" w:cs="Times New Roman"/>
                <w:sz w:val="44"/>
                <w:szCs w:val="44"/>
              </w:rPr>
              <w:t>Mercury Medical</w:t>
            </w:r>
          </w:p>
          <w:p w14:paraId="64FC9451" w14:textId="77777777" w:rsidR="00543D46" w:rsidRPr="00543D46" w:rsidRDefault="00543D46" w:rsidP="00637F72">
            <w:pPr>
              <w:spacing w:after="0" w:line="240" w:lineRule="auto"/>
              <w:jc w:val="center"/>
              <w:rPr>
                <w:rFonts w:ascii="Calibri" w:eastAsia="Calibri" w:hAnsi="Calibri" w:cs="Times New Roman"/>
                <w:sz w:val="44"/>
                <w:szCs w:val="44"/>
              </w:rPr>
            </w:pPr>
            <w:r w:rsidRPr="00543D46">
              <w:rPr>
                <w:rFonts w:ascii="Calibri" w:eastAsia="Calibri" w:hAnsi="Calibri" w:cs="Times New Roman"/>
                <w:sz w:val="44"/>
                <w:szCs w:val="44"/>
              </w:rPr>
              <w:t>Ambu</w:t>
            </w:r>
          </w:p>
          <w:p w14:paraId="48D2D5DF" w14:textId="77777777" w:rsidR="00543D46" w:rsidRPr="00543D46" w:rsidRDefault="00543D46" w:rsidP="00637F72">
            <w:pPr>
              <w:spacing w:after="0" w:line="360" w:lineRule="auto"/>
              <w:rPr>
                <w:rFonts w:ascii="Calibri" w:eastAsia="Calibri" w:hAnsi="Calibri" w:cs="Times New Roman"/>
                <w:sz w:val="44"/>
                <w:szCs w:val="44"/>
              </w:rPr>
            </w:pPr>
          </w:p>
        </w:tc>
        <w:tc>
          <w:tcPr>
            <w:tcW w:w="4471" w:type="dxa"/>
            <w:vAlign w:val="center"/>
          </w:tcPr>
          <w:p w14:paraId="5B639BCF" w14:textId="77777777" w:rsidR="00543D46" w:rsidRPr="00543D46" w:rsidRDefault="00543D46" w:rsidP="00637F72">
            <w:pPr>
              <w:spacing w:before="240" w:after="0" w:line="276" w:lineRule="auto"/>
              <w:jc w:val="center"/>
              <w:rPr>
                <w:rFonts w:ascii="Calibri" w:eastAsia="Calibri" w:hAnsi="Calibri" w:cs="Times New Roman"/>
                <w:sz w:val="44"/>
                <w:szCs w:val="44"/>
              </w:rPr>
            </w:pPr>
            <w:r w:rsidRPr="00543D46">
              <w:rPr>
                <w:rFonts w:ascii="Calibri" w:eastAsia="Calibri" w:hAnsi="Calibri" w:cs="Times New Roman"/>
                <w:sz w:val="44"/>
                <w:szCs w:val="44"/>
              </w:rPr>
              <w:t>Hamilton Medical</w:t>
            </w:r>
          </w:p>
          <w:p w14:paraId="175D3F33" w14:textId="77777777" w:rsidR="00543D46" w:rsidRPr="00543D46" w:rsidRDefault="00543D46" w:rsidP="00637F72">
            <w:pPr>
              <w:spacing w:after="0" w:line="360" w:lineRule="auto"/>
              <w:jc w:val="center"/>
              <w:rPr>
                <w:rFonts w:ascii="Calibri" w:eastAsia="Calibri" w:hAnsi="Calibri" w:cs="Times New Roman"/>
                <w:sz w:val="44"/>
                <w:szCs w:val="44"/>
              </w:rPr>
            </w:pPr>
            <w:proofErr w:type="spellStart"/>
            <w:r w:rsidRPr="00543D46">
              <w:rPr>
                <w:rFonts w:ascii="Calibri" w:eastAsia="Calibri" w:hAnsi="Calibri" w:cs="Times New Roman"/>
                <w:sz w:val="44"/>
                <w:szCs w:val="44"/>
              </w:rPr>
              <w:t>Chiesi</w:t>
            </w:r>
            <w:proofErr w:type="spellEnd"/>
          </w:p>
          <w:p w14:paraId="6F4E49B0" w14:textId="77777777" w:rsidR="00543D46" w:rsidRPr="00543D46" w:rsidRDefault="00543D46" w:rsidP="00637F72">
            <w:pPr>
              <w:spacing w:after="0" w:line="360" w:lineRule="auto"/>
              <w:jc w:val="center"/>
              <w:rPr>
                <w:rFonts w:ascii="Calibri" w:eastAsia="Calibri" w:hAnsi="Calibri" w:cs="Times New Roman"/>
                <w:sz w:val="44"/>
                <w:szCs w:val="44"/>
              </w:rPr>
            </w:pPr>
            <w:r w:rsidRPr="00543D46">
              <w:rPr>
                <w:rFonts w:ascii="Calibri" w:eastAsia="Calibri" w:hAnsi="Calibri" w:cs="Times New Roman"/>
                <w:sz w:val="44"/>
                <w:szCs w:val="44"/>
              </w:rPr>
              <w:t>Linde Gas &amp; Equipment</w:t>
            </w:r>
          </w:p>
          <w:p w14:paraId="296DCDB0" w14:textId="77777777" w:rsidR="00543D46" w:rsidRPr="00543D46" w:rsidRDefault="00543D46" w:rsidP="00637F72">
            <w:pPr>
              <w:spacing w:after="0" w:line="360" w:lineRule="auto"/>
              <w:jc w:val="center"/>
              <w:rPr>
                <w:rFonts w:ascii="Calibri" w:eastAsia="Calibri" w:hAnsi="Calibri" w:cs="Times New Roman"/>
                <w:sz w:val="44"/>
                <w:szCs w:val="44"/>
              </w:rPr>
            </w:pPr>
            <w:proofErr w:type="spellStart"/>
            <w:r w:rsidRPr="00543D46">
              <w:rPr>
                <w:rFonts w:ascii="Calibri" w:eastAsia="Calibri" w:hAnsi="Calibri" w:cs="Times New Roman"/>
                <w:sz w:val="44"/>
                <w:szCs w:val="44"/>
              </w:rPr>
              <w:t>Vapotherm</w:t>
            </w:r>
            <w:proofErr w:type="spellEnd"/>
          </w:p>
          <w:p w14:paraId="7478B060" w14:textId="77777777" w:rsidR="00543D46" w:rsidRPr="00543D46" w:rsidRDefault="00543D46" w:rsidP="00637F72">
            <w:pPr>
              <w:spacing w:after="0" w:line="360" w:lineRule="auto"/>
              <w:jc w:val="center"/>
              <w:rPr>
                <w:rFonts w:ascii="Calibri" w:eastAsia="Calibri" w:hAnsi="Calibri" w:cs="Times New Roman"/>
                <w:sz w:val="44"/>
                <w:szCs w:val="44"/>
              </w:rPr>
            </w:pPr>
            <w:r w:rsidRPr="00543D46">
              <w:rPr>
                <w:rFonts w:ascii="Calibri" w:eastAsia="Calibri" w:hAnsi="Calibri" w:cs="Times New Roman"/>
                <w:sz w:val="44"/>
                <w:szCs w:val="44"/>
              </w:rPr>
              <w:t>Fisher &amp; Paykel</w:t>
            </w:r>
          </w:p>
          <w:p w14:paraId="614199C4" w14:textId="77777777" w:rsidR="00543D46" w:rsidRDefault="00543D46" w:rsidP="00637F72">
            <w:pPr>
              <w:spacing w:after="0" w:line="360" w:lineRule="auto"/>
              <w:jc w:val="center"/>
              <w:rPr>
                <w:rFonts w:ascii="Calibri" w:eastAsia="Calibri" w:hAnsi="Calibri" w:cs="Times New Roman"/>
                <w:sz w:val="44"/>
                <w:szCs w:val="44"/>
              </w:rPr>
            </w:pPr>
            <w:r w:rsidRPr="00543D46">
              <w:rPr>
                <w:rFonts w:ascii="Calibri" w:eastAsia="Calibri" w:hAnsi="Calibri" w:cs="Times New Roman"/>
                <w:sz w:val="44"/>
                <w:szCs w:val="44"/>
              </w:rPr>
              <w:t>Monaghan Medical</w:t>
            </w:r>
          </w:p>
          <w:p w14:paraId="0C8686EB" w14:textId="5A5D5022" w:rsidR="00637F72" w:rsidRPr="00543D46" w:rsidRDefault="00637F72" w:rsidP="00637F72">
            <w:pPr>
              <w:spacing w:after="0" w:line="360" w:lineRule="auto"/>
              <w:jc w:val="center"/>
              <w:rPr>
                <w:rFonts w:ascii="Calibri" w:eastAsia="Calibri" w:hAnsi="Calibri" w:cs="Times New Roman"/>
                <w:sz w:val="44"/>
                <w:szCs w:val="44"/>
              </w:rPr>
            </w:pPr>
            <w:r>
              <w:rPr>
                <w:rFonts w:ascii="Calibri" w:eastAsia="Calibri" w:hAnsi="Calibri" w:cs="Times New Roman"/>
                <w:sz w:val="44"/>
                <w:szCs w:val="44"/>
              </w:rPr>
              <w:t>Messer Gases for Life</w:t>
            </w:r>
          </w:p>
          <w:p w14:paraId="2CB4EABE" w14:textId="5059C8DD" w:rsidR="00543D46" w:rsidRPr="00543D46" w:rsidRDefault="00637F72" w:rsidP="00637F72">
            <w:pPr>
              <w:spacing w:after="0" w:line="240" w:lineRule="auto"/>
              <w:jc w:val="center"/>
              <w:rPr>
                <w:rFonts w:ascii="Calibri" w:eastAsia="Calibri" w:hAnsi="Calibri" w:cs="Times New Roman"/>
                <w:sz w:val="44"/>
                <w:szCs w:val="44"/>
              </w:rPr>
            </w:pPr>
            <w:r>
              <w:rPr>
                <w:rFonts w:ascii="Calibri" w:eastAsia="Calibri" w:hAnsi="Calibri" w:cs="Times New Roman"/>
                <w:sz w:val="44"/>
                <w:szCs w:val="44"/>
              </w:rPr>
              <w:t xml:space="preserve">Nihon </w:t>
            </w:r>
            <w:proofErr w:type="spellStart"/>
            <w:r>
              <w:rPr>
                <w:rFonts w:ascii="Calibri" w:eastAsia="Calibri" w:hAnsi="Calibri" w:cs="Times New Roman"/>
                <w:sz w:val="44"/>
                <w:szCs w:val="44"/>
              </w:rPr>
              <w:t>Kohden</w:t>
            </w:r>
            <w:proofErr w:type="spellEnd"/>
          </w:p>
          <w:p w14:paraId="339E3C23" w14:textId="77777777" w:rsidR="00543D46" w:rsidRPr="00543D46" w:rsidRDefault="00543D46" w:rsidP="00637F72">
            <w:pPr>
              <w:spacing w:after="0" w:line="360" w:lineRule="auto"/>
              <w:jc w:val="center"/>
              <w:rPr>
                <w:rFonts w:ascii="Calibri" w:eastAsia="Calibri" w:hAnsi="Calibri" w:cs="Times New Roman"/>
                <w:sz w:val="44"/>
                <w:szCs w:val="44"/>
              </w:rPr>
            </w:pPr>
          </w:p>
        </w:tc>
      </w:tr>
    </w:tbl>
    <w:p w14:paraId="67B26A0A" w14:textId="79EDFCFA" w:rsidR="00543D46" w:rsidRDefault="00637F72" w:rsidP="00D632B2">
      <w:pPr>
        <w:spacing w:after="100" w:afterAutospacing="1" w:line="360" w:lineRule="auto"/>
        <w:jc w:val="center"/>
      </w:pPr>
      <w:r w:rsidRPr="00543D46">
        <w:rPr>
          <w:rFonts w:ascii="Calibri" w:eastAsia="Calibri" w:hAnsi="Calibri" w:cs="Times New Roman"/>
          <w:sz w:val="44"/>
          <w:szCs w:val="44"/>
        </w:rPr>
        <w:t>MGC Diagnostics</w:t>
      </w:r>
    </w:p>
    <w:sectPr w:rsidR="00543D46" w:rsidSect="00637F7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B973" w14:textId="77777777" w:rsidR="00411022" w:rsidRDefault="00411022" w:rsidP="00C02885">
      <w:pPr>
        <w:spacing w:after="0" w:line="240" w:lineRule="auto"/>
      </w:pPr>
      <w:r>
        <w:separator/>
      </w:r>
    </w:p>
  </w:endnote>
  <w:endnote w:type="continuationSeparator" w:id="0">
    <w:p w14:paraId="2165F55C" w14:textId="77777777" w:rsidR="00411022" w:rsidRDefault="00411022" w:rsidP="00C0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1CD5" w14:textId="1DC666C9" w:rsidR="00C02885" w:rsidRDefault="00C02885" w:rsidP="00C02885">
    <w:pPr>
      <w:pStyle w:val="Footer"/>
    </w:pPr>
    <w:r>
      <w:t xml:space="preserve">      </w:t>
    </w:r>
    <w:r>
      <w:rPr>
        <w:noProof/>
      </w:rPr>
      <w:drawing>
        <wp:inline distT="0" distB="0" distL="0" distR="0" wp14:anchorId="5594A323" wp14:editId="5A6A95D7">
          <wp:extent cx="890270" cy="890270"/>
          <wp:effectExtent l="0" t="0" r="5080" b="5080"/>
          <wp:docPr id="1271563309" name="Picture 2" descr="A logo with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63309" name="Picture 2" descr="A logo with a stethosco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pic:spPr>
              </pic:pic>
            </a:graphicData>
          </a:graphic>
        </wp:inline>
      </w:drawing>
    </w:r>
    <w:r>
      <w:t xml:space="preserve">                    </w:t>
    </w:r>
    <w:r w:rsidRPr="00C02885">
      <w:rPr>
        <w:rFonts w:ascii="Calibri" w:eastAsia="Calibri" w:hAnsi="Calibri" w:cs="Times New Roman"/>
        <w:noProof/>
      </w:rPr>
      <w:drawing>
        <wp:inline distT="0" distB="0" distL="0" distR="0" wp14:anchorId="5F61DF98" wp14:editId="48CBBB5C">
          <wp:extent cx="4119061" cy="702495"/>
          <wp:effectExtent l="0" t="0" r="0" b="2540"/>
          <wp:docPr id="11" name="Picture 10">
            <a:extLst xmlns:a="http://schemas.openxmlformats.org/drawingml/2006/main">
              <a:ext uri="{FF2B5EF4-FFF2-40B4-BE49-F238E27FC236}">
                <a16:creationId xmlns:a16="http://schemas.microsoft.com/office/drawing/2014/main" id="{82895B76-A508-A183-8370-5D76334464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2895B76-A508-A183-8370-5D763344642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19061" cy="70249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41230" w14:textId="77777777" w:rsidR="00411022" w:rsidRDefault="00411022" w:rsidP="00C02885">
      <w:pPr>
        <w:spacing w:after="0" w:line="240" w:lineRule="auto"/>
      </w:pPr>
      <w:r>
        <w:separator/>
      </w:r>
    </w:p>
  </w:footnote>
  <w:footnote w:type="continuationSeparator" w:id="0">
    <w:p w14:paraId="4DA2022D" w14:textId="77777777" w:rsidR="00411022" w:rsidRDefault="00411022" w:rsidP="00C028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85"/>
    <w:rsid w:val="00031484"/>
    <w:rsid w:val="001317C3"/>
    <w:rsid w:val="001F3B2B"/>
    <w:rsid w:val="00216442"/>
    <w:rsid w:val="002816A9"/>
    <w:rsid w:val="00294B55"/>
    <w:rsid w:val="002A2B0A"/>
    <w:rsid w:val="002F064B"/>
    <w:rsid w:val="00356A55"/>
    <w:rsid w:val="003A59E7"/>
    <w:rsid w:val="003B3E3E"/>
    <w:rsid w:val="00411022"/>
    <w:rsid w:val="00543D46"/>
    <w:rsid w:val="005C40B6"/>
    <w:rsid w:val="00623812"/>
    <w:rsid w:val="00633CD4"/>
    <w:rsid w:val="00637F72"/>
    <w:rsid w:val="00673A1A"/>
    <w:rsid w:val="00686BF9"/>
    <w:rsid w:val="006F0E79"/>
    <w:rsid w:val="00722B46"/>
    <w:rsid w:val="00786446"/>
    <w:rsid w:val="007F7CF5"/>
    <w:rsid w:val="008B085C"/>
    <w:rsid w:val="008C7644"/>
    <w:rsid w:val="00984B43"/>
    <w:rsid w:val="00A75BFC"/>
    <w:rsid w:val="00AE5CFB"/>
    <w:rsid w:val="00B23E02"/>
    <w:rsid w:val="00C02885"/>
    <w:rsid w:val="00C3534A"/>
    <w:rsid w:val="00C45F5D"/>
    <w:rsid w:val="00CD13DC"/>
    <w:rsid w:val="00D03996"/>
    <w:rsid w:val="00D632B2"/>
    <w:rsid w:val="00DD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FF0A0"/>
  <w15:chartTrackingRefBased/>
  <w15:docId w15:val="{CDA551DF-015A-427C-8C1D-6A23E7AD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85"/>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885"/>
    <w:rPr>
      <w:color w:val="0000FF" w:themeColor="hyperlink"/>
      <w:u w:val="single"/>
    </w:rPr>
  </w:style>
  <w:style w:type="paragraph" w:styleId="Header">
    <w:name w:val="header"/>
    <w:basedOn w:val="Normal"/>
    <w:link w:val="HeaderChar"/>
    <w:uiPriority w:val="99"/>
    <w:unhideWhenUsed/>
    <w:rsid w:val="00C02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885"/>
    <w:rPr>
      <w:kern w:val="0"/>
      <w14:ligatures w14:val="none"/>
    </w:rPr>
  </w:style>
  <w:style w:type="paragraph" w:styleId="Footer">
    <w:name w:val="footer"/>
    <w:basedOn w:val="Normal"/>
    <w:link w:val="FooterChar"/>
    <w:uiPriority w:val="99"/>
    <w:unhideWhenUsed/>
    <w:rsid w:val="00C02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885"/>
    <w:rPr>
      <w:kern w:val="0"/>
      <w14:ligatures w14:val="none"/>
    </w:rPr>
  </w:style>
  <w:style w:type="table" w:styleId="TableGrid">
    <w:name w:val="Table Grid"/>
    <w:basedOn w:val="TableNormal"/>
    <w:uiPriority w:val="39"/>
    <w:rsid w:val="00543D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64c8db-bea1-4da7-a52e-247c824c5f7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6A80475E76D04AB6C13DFB7FB79F93" ma:contentTypeVersion="7" ma:contentTypeDescription="Create a new document." ma:contentTypeScope="" ma:versionID="3b4b635830073adf10fa4fb5d8170bee">
  <xsd:schema xmlns:xsd="http://www.w3.org/2001/XMLSchema" xmlns:xs="http://www.w3.org/2001/XMLSchema" xmlns:p="http://schemas.microsoft.com/office/2006/metadata/properties" xmlns:ns3="8664c8db-bea1-4da7-a52e-247c824c5f79" xmlns:ns4="6d0ab4b5-a047-4879-85a5-fee8941889d7" targetNamespace="http://schemas.microsoft.com/office/2006/metadata/properties" ma:root="true" ma:fieldsID="72393a25ff42eb369731db5f2517063a" ns3:_="" ns4:_="">
    <xsd:import namespace="8664c8db-bea1-4da7-a52e-247c824c5f79"/>
    <xsd:import namespace="6d0ab4b5-a047-4879-85a5-fee8941889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4c8db-bea1-4da7-a52e-247c824c5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ab4b5-a047-4879-85a5-fee8941889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E33854-103D-430C-853A-4D1631915415}">
  <ds:schemaRefs>
    <ds:schemaRef ds:uri="http://schemas.microsoft.com/office/2006/metadata/properties"/>
    <ds:schemaRef ds:uri="http://schemas.microsoft.com/office/infopath/2007/PartnerControls"/>
    <ds:schemaRef ds:uri="8664c8db-bea1-4da7-a52e-247c824c5f79"/>
  </ds:schemaRefs>
</ds:datastoreItem>
</file>

<file path=customXml/itemProps2.xml><?xml version="1.0" encoding="utf-8"?>
<ds:datastoreItem xmlns:ds="http://schemas.openxmlformats.org/officeDocument/2006/customXml" ds:itemID="{CB34F07B-C9AC-4192-A522-153393F6E028}">
  <ds:schemaRefs>
    <ds:schemaRef ds:uri="http://schemas.openxmlformats.org/officeDocument/2006/bibliography"/>
  </ds:schemaRefs>
</ds:datastoreItem>
</file>

<file path=customXml/itemProps3.xml><?xml version="1.0" encoding="utf-8"?>
<ds:datastoreItem xmlns:ds="http://schemas.openxmlformats.org/officeDocument/2006/customXml" ds:itemID="{5FF7FE57-24A3-4310-A781-049F9B38A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4c8db-bea1-4da7-a52e-247c824c5f79"/>
    <ds:schemaRef ds:uri="6d0ab4b5-a047-4879-85a5-fee894188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C27458-EBCC-4984-B713-0B7CA4C3F7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Chavez</dc:creator>
  <cp:keywords/>
  <dc:description/>
  <cp:lastModifiedBy>Jo Ann Sherwood</cp:lastModifiedBy>
  <cp:revision>2</cp:revision>
  <cp:lastPrinted>2023-12-28T17:39:00Z</cp:lastPrinted>
  <dcterms:created xsi:type="dcterms:W3CDTF">2024-01-11T20:49:00Z</dcterms:created>
  <dcterms:modified xsi:type="dcterms:W3CDTF">2024-01-11T20:49:00Z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0x010100BF6A80475E76D04AB6C13DFB7FB79F93</vt:lpwstr>
  </property>
</Properties>
</file>